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jc w:val="center"/>
        <w:rPr>
          <w:rFonts w:hint="eastAsia" w:eastAsia="仿宋_GB2312"/>
          <w:color w:val="FF0000"/>
          <w:sz w:val="30"/>
          <w:szCs w:val="30"/>
        </w:rPr>
      </w:pPr>
      <w:r>
        <w:rPr>
          <w:rFonts w:hint="eastAsia" w:eastAsia="仿宋_GB2312"/>
          <w:color w:val="FF0000"/>
          <w:sz w:val="30"/>
          <w:szCs w:val="30"/>
        </w:rPr>
        <mc:AlternateContent>
          <mc:Choice Requires="wpg">
            <w:drawing>
              <wp:anchor distT="0" distB="0" distL="114300" distR="114300" simplePos="0" relativeHeight="251659264" behindDoc="0" locked="0" layoutInCell="1" allowOverlap="1">
                <wp:simplePos x="0" y="0"/>
                <wp:positionH relativeFrom="column">
                  <wp:posOffset>-314325</wp:posOffset>
                </wp:positionH>
                <wp:positionV relativeFrom="paragraph">
                  <wp:posOffset>-90805</wp:posOffset>
                </wp:positionV>
                <wp:extent cx="5943600" cy="1180465"/>
                <wp:effectExtent l="0" t="0" r="0" b="23495"/>
                <wp:wrapNone/>
                <wp:docPr id="4" name="组合 4"/>
                <wp:cNvGraphicFramePr/>
                <a:graphic xmlns:a="http://schemas.openxmlformats.org/drawingml/2006/main">
                  <a:graphicData uri="http://schemas.microsoft.com/office/word/2010/wordprocessingGroup">
                    <wpg:wgp>
                      <wpg:cNvGrpSpPr/>
                      <wpg:grpSpPr>
                        <a:xfrm>
                          <a:off x="0" y="0"/>
                          <a:ext cx="5943600" cy="1180465"/>
                          <a:chOff x="1395" y="1500"/>
                          <a:chExt cx="9360" cy="1269"/>
                        </a:xfrm>
                      </wpg:grpSpPr>
                      <wps:wsp>
                        <wps:cNvPr id="1" name="直接连接符 1"/>
                        <wps:cNvCnPr/>
                        <wps:spPr>
                          <a:xfrm>
                            <a:off x="1545" y="2688"/>
                            <a:ext cx="9180" cy="0"/>
                          </a:xfrm>
                          <a:prstGeom prst="line">
                            <a:avLst/>
                          </a:prstGeom>
                          <a:ln w="38100" cap="flat" cmpd="sng">
                            <a:solidFill>
                              <a:srgbClr val="FF0000"/>
                            </a:solidFill>
                            <a:prstDash val="solid"/>
                            <a:headEnd type="none" w="med" len="med"/>
                            <a:tailEnd type="none" w="med" len="med"/>
                          </a:ln>
                        </wps:spPr>
                        <wps:bodyPr upright="1"/>
                      </wps:wsp>
                      <wps:wsp>
                        <wps:cNvPr id="2" name="直接连接符 2"/>
                        <wps:cNvCnPr/>
                        <wps:spPr>
                          <a:xfrm>
                            <a:off x="1545" y="2769"/>
                            <a:ext cx="9180" cy="0"/>
                          </a:xfrm>
                          <a:prstGeom prst="line">
                            <a:avLst/>
                          </a:prstGeom>
                          <a:ln w="9525" cap="flat" cmpd="sng">
                            <a:solidFill>
                              <a:srgbClr val="FF0000"/>
                            </a:solidFill>
                            <a:prstDash val="solid"/>
                            <a:headEnd type="none" w="med" len="med"/>
                            <a:tailEnd type="none" w="med" len="med"/>
                          </a:ln>
                        </wps:spPr>
                        <wps:bodyPr upright="1"/>
                      </wps:wsp>
                      <wps:wsp>
                        <wps:cNvPr id="3" name="矩形 3"/>
                        <wps:cNvSpPr/>
                        <wps:spPr>
                          <a:xfrm>
                            <a:off x="1395" y="1500"/>
                            <a:ext cx="9360" cy="1014"/>
                          </a:xfrm>
                          <a:prstGeom prst="rect">
                            <a:avLst/>
                          </a:prstGeom>
                          <a:noFill/>
                          <a:ln>
                            <a:noFill/>
                          </a:ln>
                        </wps:spPr>
                        <wps:txbx>
                          <w:txbxContent>
                            <w:p>
                              <w:pPr>
                                <w:jc w:val="center"/>
                                <w:rPr>
                                  <w:rFonts w:hint="eastAsia" w:ascii="方正小标宋_GBK" w:eastAsia="方正小标宋_GBK"/>
                                  <w:w w:val="85"/>
                                  <w:sz w:val="80"/>
                                </w:rPr>
                              </w:pPr>
                              <w:r>
                                <w:rPr>
                                  <w:rFonts w:hint="eastAsia" w:ascii="方正小标宋_GBK" w:eastAsia="方正小标宋_GBK"/>
                                  <w:color w:val="FF0000"/>
                                  <w:w w:val="85"/>
                                  <w:sz w:val="80"/>
                                  <w:szCs w:val="56"/>
                                </w:rPr>
                                <w:t>绍兴市上虞区供销合作总社</w:t>
                              </w:r>
                            </w:p>
                          </w:txbxContent>
                        </wps:txbx>
                        <wps:bodyPr upright="1"/>
                      </wps:wsp>
                    </wpg:wgp>
                  </a:graphicData>
                </a:graphic>
              </wp:anchor>
            </w:drawing>
          </mc:Choice>
          <mc:Fallback>
            <w:pict>
              <v:group id="_x0000_s1026" o:spid="_x0000_s1026" o:spt="203" style="position:absolute;left:0pt;margin-left:-24.75pt;margin-top:-7.15pt;height:92.95pt;width:468pt;z-index:251659264;mso-width-relative:page;mso-height-relative:page;" coordorigin="1395,1500" coordsize="9360,1269" o:gfxdata="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z4cJi9oAAAALAQAADwAAAAAAAAABACAAAAAiAAAAZHJzL2Rv&#10;d25yZXYueG1sUEsBAhQAFAAAAAgAh07iQA5zifPjAgAAhggAAA4AAAAAAAAAAQAgAAAAKQEAAGRy&#10;cy9lMm9Eb2MueG1sUEsFBgAAAAAGAAYAWQEAAH4GAAAAAA==&#10;">
                <o:lock v:ext="edit" aspectratio="f"/>
                <v:line id="_x0000_s1026" o:spid="_x0000_s1026" o:spt="20" style="position:absolute;left:1545;top:2688;height:0;width:9180;" filled="f" stroked="t" coordsize="21600,21600" o:gfxdata="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zr5vQAA&#10;ANoAAAAPAAAAAAAAAAEAIAAAACIAAABkcnMvZG93bnJldi54bWxQSwECFAAUAAAACACHTuJAMy8F&#10;njsAAAA5AAAAEAAAAAAAAAABACAAAAAMAQAAZHJzL3NoYXBleG1sLnhtbFBLBQYAAAAABgAGAFsB&#10;AAC2AwAAAAA=&#10;">
                  <v:fill on="f" focussize="0,0"/>
                  <v:stroke weight="3pt" color="#FF0000" joinstyle="round"/>
                  <v:imagedata o:title=""/>
                  <o:lock v:ext="edit" aspectratio="f"/>
                </v:line>
                <v:line id="_x0000_s1026" o:spid="_x0000_s1026" o:spt="20" style="position:absolute;left:1545;top:2769;height:0;width:9180;" filled="f" stroked="t" coordsize="21600,21600" o:gfxdata="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rect id="_x0000_s1026" o:spid="_x0000_s1026" o:spt="1" style="position:absolute;left:1395;top:1500;height:1014;width:936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ascii="方正小标宋_GBK" w:eastAsia="方正小标宋_GBK"/>
                            <w:w w:val="85"/>
                            <w:sz w:val="80"/>
                          </w:rPr>
                        </w:pPr>
                        <w:r>
                          <w:rPr>
                            <w:rFonts w:hint="eastAsia" w:ascii="方正小标宋_GBK" w:eastAsia="方正小标宋_GBK"/>
                            <w:color w:val="FF0000"/>
                            <w:w w:val="85"/>
                            <w:sz w:val="80"/>
                            <w:szCs w:val="56"/>
                          </w:rPr>
                          <w:t>绍兴市上虞区供销合作总社</w:t>
                        </w:r>
                      </w:p>
                    </w:txbxContent>
                  </v:textbox>
                </v:rect>
              </v:group>
            </w:pict>
          </mc:Fallback>
        </mc:AlternateContent>
      </w:r>
    </w:p>
    <w:p>
      <w:pPr>
        <w:spacing w:line="100" w:lineRule="atLeast"/>
        <w:jc w:val="center"/>
        <w:rPr>
          <w:rFonts w:hint="eastAsia" w:eastAsia="仿宋_GB2312"/>
          <w:color w:val="FF0000"/>
          <w:sz w:val="18"/>
          <w:szCs w:val="18"/>
        </w:rPr>
      </w:pPr>
    </w:p>
    <w:p>
      <w:pPr>
        <w:spacing w:line="100" w:lineRule="atLeast"/>
        <w:jc w:val="center"/>
        <w:rPr>
          <w:rFonts w:hint="eastAsia" w:eastAsia="仿宋_GB2312"/>
          <w:color w:val="FF0000"/>
          <w:sz w:val="18"/>
          <w:szCs w:val="18"/>
        </w:rPr>
      </w:pPr>
    </w:p>
    <w:p>
      <w:pPr>
        <w:jc w:val="center"/>
        <w:rPr>
          <w:rFonts w:hint="eastAsia" w:ascii="楷体_GB2312" w:eastAsia="楷体_GB2312"/>
          <w:color w:val="FF0000"/>
          <w:spacing w:val="-40"/>
          <w:sz w:val="76"/>
          <w:szCs w:val="76"/>
        </w:rPr>
      </w:pPr>
    </w:p>
    <w:p>
      <w:pPr>
        <w:jc w:val="center"/>
        <w:rPr>
          <w:rFonts w:hint="eastAsia" w:ascii="方正小标宋_GBK" w:hAnsi="方正小标宋_GBK" w:eastAsia="方正小标宋_GBK" w:cs="方正小标宋_GBK"/>
          <w:b w:val="0"/>
          <w:bCs w:val="0"/>
          <w:color w:val="000000"/>
          <w:spacing w:val="0"/>
          <w:sz w:val="44"/>
          <w:szCs w:val="44"/>
        </w:rPr>
      </w:pPr>
      <w:r>
        <w:rPr>
          <w:rFonts w:hint="eastAsia" w:ascii="方正小标宋_GBK" w:hAnsi="方正小标宋_GBK" w:eastAsia="方正小标宋_GBK" w:cs="方正小标宋_GBK"/>
          <w:b w:val="0"/>
          <w:bCs w:val="0"/>
          <w:color w:val="000000"/>
          <w:spacing w:val="0"/>
          <w:sz w:val="44"/>
          <w:szCs w:val="44"/>
        </w:rPr>
        <w:t>关于开展消防安全百日攻坚行动的通知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各基层社、直属企业，商贸国资公司、二轻公司：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绍兴市上虞区安全生产委员会、绍兴市上虞区消防安全委员会《关于开展消防安全百日攻坚行动的通知》精神（虞消安[2022]6号），进一步深化全系统消防安全大排查大整治行动，切实保障人民群众生命财产安全，开展消防安全百日攻坚行动，现将有关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一、工作目标要求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深入贯彻落实习近平总书记关于安全生产重要指示批示精神，进一步推动国务院安委会安全生产 15 条重要措施和省委省政府安全生产 25 条实施意见落地生效，按照绍兴市 35 条实施细则，进一步推动强化消防安全红线意识，压实单位消防安全主体责任，扎实开展消防安全大排查大整治，杜绝各类消防安全违法行为，坚决防遏制群死群伤重特大火灾事故发生，确保人民生命财产安全，以实际行动迎接党的二十大胜利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二、行动主要任务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（一）建筑施工领域安全。重点排查社有资产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人员密集场所擅自改建加层、擅自改变结构和布局、非法开采地下空间等现象；资产老化特别是遇台风汛情危及公共安全，切实履行安全管理责任，及时采取整改措施或者实施拆除；规范建筑施工、装璜装修动火作业；禁止施工工地建筑外立面使用可燃易燃防护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化品生产经营安全。系统内危化品生产、经营、储存单位要重点整治主体责任落实不到位，安全风险管控能力弱；员工安全意识、安全技能和防范能力不高；用火、用电管控存在隐患；生产经营场所安全设计、安全设施不规范或存在老化；重大危险源失管失控以及应急能力建设不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（三）燃气使用安全。重点整治非餐饮沿街商铺使用燃气；餐饮、单位</w:t>
      </w:r>
      <w:r>
        <w:rPr>
          <w:rFonts w:hint="eastAsia" w:ascii="仿宋_GB2312" w:hAnsi="仿宋_GB2312" w:eastAsia="仿宋_GB2312" w:cs="仿宋_GB2312"/>
          <w:sz w:val="32"/>
          <w:szCs w:val="32"/>
          <w:lang w:eastAsia="zh-CN"/>
        </w:rPr>
        <w:t>食堂</w:t>
      </w:r>
      <w:r>
        <w:rPr>
          <w:rFonts w:hint="eastAsia" w:ascii="仿宋_GB2312" w:hAnsi="仿宋_GB2312" w:eastAsia="仿宋_GB2312" w:cs="仿宋_GB2312"/>
          <w:sz w:val="32"/>
          <w:szCs w:val="32"/>
        </w:rPr>
        <w:t>等燃气使用场所瓶装液化石油气设置位置、储存剂量、连接方式不符合使用规范；整治使用瓶装液化石油气的沿街商铺未设置可燃气体报警装置或设置不符合规定。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器使用安全。要对包括所有出租场所在内的各类经营场所进行消防安全检查，目前夏季高温进入用电高峰期，加强配电设备安全检查管理，确保安全运行；开展对超负荷用电、私拉乱接整治；注重对电线套管理使用，漏电保护、空开、接线合箱、开关插座的安全隐患整治；严格实施生产经营场所打烊息业后切电</w:t>
      </w:r>
      <w:r>
        <w:rPr>
          <w:rFonts w:hint="eastAsia" w:ascii="仿宋_GB2312" w:hAnsi="仿宋_GB2312" w:eastAsia="仿宋_GB2312" w:cs="仿宋_GB2312"/>
          <w:sz w:val="32"/>
          <w:szCs w:val="32"/>
          <w:lang w:eastAsia="zh-CN"/>
        </w:rPr>
        <w:t>行动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三、行动时间安排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行动从2022年7月1日开始，至2022年9月20日结束。7月6日至7月31日，</w:t>
      </w:r>
      <w:r>
        <w:rPr>
          <w:rFonts w:hint="eastAsia" w:ascii="仿宋_GB2312" w:hAnsi="仿宋_GB2312" w:eastAsia="仿宋_GB2312" w:cs="仿宋_GB2312"/>
          <w:sz w:val="32"/>
          <w:szCs w:val="32"/>
          <w:lang w:eastAsia="zh-CN"/>
        </w:rPr>
        <w:t>系统各单位开展隐患自查，做好消防及各专业安委会迎检工作</w:t>
      </w:r>
      <w:r>
        <w:rPr>
          <w:rFonts w:hint="eastAsia" w:ascii="仿宋_GB2312" w:hAnsi="仿宋_GB2312" w:eastAsia="仿宋_GB2312" w:cs="仿宋_GB2312"/>
          <w:sz w:val="32"/>
          <w:szCs w:val="32"/>
        </w:rPr>
        <w:t>；9月20日前，系统各单位结合自查及上级督查情况，落实主体责任，消除安全隐患，实现隐患闭环。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四、行动工作要求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各单位要充分认清开展消防安全百日攻坚的重要性和必要性，进一步压实安全生产主体责任和领导检查责任，加大隐患排查力度，拓宽整治至所有责任层面的生产经营及出租场所；</w:t>
      </w:r>
      <w:r>
        <w:rPr>
          <w:rFonts w:hint="eastAsia" w:ascii="仿宋_GB2312" w:hAnsi="仿宋_GB2312" w:eastAsia="仿宋_GB2312" w:cs="仿宋_GB2312"/>
          <w:color w:val="auto"/>
          <w:sz w:val="32"/>
          <w:szCs w:val="32"/>
        </w:rPr>
        <w:t>区供销总社安全生产领导小组成员要履行职责，积极参与消防安全百日攻坚行动，开展对</w:t>
      </w:r>
      <w:r>
        <w:rPr>
          <w:rFonts w:hint="eastAsia" w:ascii="仿宋_GB2312" w:hAnsi="仿宋_GB2312" w:eastAsia="仿宋_GB2312" w:cs="仿宋_GB2312"/>
          <w:color w:val="auto"/>
          <w:sz w:val="32"/>
          <w:szCs w:val="32"/>
          <w:lang w:eastAsia="zh-CN"/>
        </w:rPr>
        <w:t>联系</w:t>
      </w:r>
      <w:r>
        <w:rPr>
          <w:rFonts w:hint="eastAsia" w:ascii="仿宋_GB2312" w:hAnsi="仿宋_GB2312" w:eastAsia="仿宋_GB2312" w:cs="仿宋_GB2312"/>
          <w:color w:val="auto"/>
          <w:sz w:val="32"/>
          <w:szCs w:val="32"/>
        </w:rPr>
        <w:t>单位消防安全督查行动；</w:t>
      </w:r>
      <w:r>
        <w:rPr>
          <w:rFonts w:hint="eastAsia" w:ascii="仿宋_GB2312" w:hAnsi="仿宋_GB2312" w:eastAsia="仿宋_GB2312" w:cs="仿宋_GB2312"/>
          <w:sz w:val="32"/>
          <w:szCs w:val="32"/>
        </w:rPr>
        <w:t>对发现的问题隐患，明确责任和整改期限，全面完成闭环，</w:t>
      </w:r>
      <w:r>
        <w:rPr>
          <w:rFonts w:hint="eastAsia" w:ascii="仿宋_GB2312" w:hAnsi="仿宋_GB2312" w:eastAsia="仿宋_GB2312" w:cs="仿宋_GB2312"/>
          <w:sz w:val="32"/>
          <w:szCs w:val="32"/>
          <w:lang w:eastAsia="zh-CN"/>
        </w:rPr>
        <w:t>避免</w:t>
      </w:r>
      <w:r>
        <w:rPr>
          <w:rFonts w:hint="eastAsia" w:ascii="仿宋_GB2312" w:hAnsi="仿宋_GB2312" w:eastAsia="仿宋_GB2312" w:cs="仿宋_GB2312"/>
          <w:sz w:val="32"/>
          <w:szCs w:val="32"/>
        </w:rPr>
        <w:t>消防及专业安委会在百日行动中系统内重大安全隐患被曝光，努力减少问题清单数量。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系统各单位在检查中要加强百日消防安全宣传教育，强化信息报送，每月15日、30日上午12时前报告工作小结（主要为开展的主要工作、存在问题及下步措施），9月20日前每周四上午12时前上报附件（1-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）至区社安管办。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绍兴市上虞区供销合作总社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2022年7月6日</w:t>
      </w: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rPr>
          <w:rFonts w:hint="eastAsia" w:ascii="仿宋" w:hAnsi="仿宋" w:eastAsia="仿宋" w:cs="仿宋"/>
          <w:sz w:val="30"/>
          <w:szCs w:val="30"/>
        </w:rPr>
        <w:sectPr>
          <w:pgSz w:w="11906" w:h="16838"/>
          <w:pgMar w:top="1440" w:right="1800" w:bottom="1440" w:left="1800" w:header="851" w:footer="992" w:gutter="0"/>
          <w:cols w:space="425" w:num="1"/>
          <w:docGrid w:type="lines" w:linePitch="312" w:charSpace="0"/>
        </w:sectPr>
      </w:pP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1：</w:t>
      </w:r>
    </w:p>
    <w:p>
      <w:pPr>
        <w:jc w:val="center"/>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问题隐患汇总清单</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填报单位：                                                     填报日期：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610"/>
        <w:gridCol w:w="3870"/>
        <w:gridCol w:w="1941"/>
        <w:gridCol w:w="1854"/>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 号</w:t>
            </w:r>
          </w:p>
        </w:tc>
        <w:tc>
          <w:tcPr>
            <w:tcW w:w="2610"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企业（场所）名称</w:t>
            </w:r>
          </w:p>
        </w:tc>
        <w:tc>
          <w:tcPr>
            <w:tcW w:w="3870"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隐患情况</w:t>
            </w:r>
          </w:p>
        </w:tc>
        <w:tc>
          <w:tcPr>
            <w:tcW w:w="1941"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完成时限</w:t>
            </w:r>
          </w:p>
        </w:tc>
        <w:tc>
          <w:tcPr>
            <w:tcW w:w="1854"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责任单位</w:t>
            </w:r>
          </w:p>
        </w:tc>
        <w:tc>
          <w:tcPr>
            <w:tcW w:w="2872"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2610" w:type="dxa"/>
          </w:tcPr>
          <w:p>
            <w:pPr>
              <w:jc w:val="left"/>
              <w:rPr>
                <w:rFonts w:hint="default" w:ascii="仿宋" w:hAnsi="仿宋" w:eastAsia="仿宋" w:cs="仿宋"/>
                <w:sz w:val="30"/>
                <w:szCs w:val="30"/>
                <w:vertAlign w:val="baseline"/>
                <w:lang w:val="en-US" w:eastAsia="zh-CN"/>
              </w:rPr>
            </w:pPr>
          </w:p>
        </w:tc>
        <w:tc>
          <w:tcPr>
            <w:tcW w:w="3870" w:type="dxa"/>
          </w:tcPr>
          <w:p>
            <w:pPr>
              <w:jc w:val="left"/>
              <w:rPr>
                <w:rFonts w:hint="default" w:ascii="仿宋" w:hAnsi="仿宋" w:eastAsia="仿宋" w:cs="仿宋"/>
                <w:sz w:val="30"/>
                <w:szCs w:val="30"/>
                <w:vertAlign w:val="baseline"/>
                <w:lang w:val="en-US" w:eastAsia="zh-CN"/>
              </w:rPr>
            </w:pPr>
          </w:p>
        </w:tc>
        <w:tc>
          <w:tcPr>
            <w:tcW w:w="1941" w:type="dxa"/>
          </w:tcPr>
          <w:p>
            <w:pPr>
              <w:jc w:val="left"/>
              <w:rPr>
                <w:rFonts w:hint="default" w:ascii="仿宋" w:hAnsi="仿宋" w:eastAsia="仿宋" w:cs="仿宋"/>
                <w:sz w:val="30"/>
                <w:szCs w:val="30"/>
                <w:vertAlign w:val="baseline"/>
                <w:lang w:val="en-US" w:eastAsia="zh-CN"/>
              </w:rPr>
            </w:pPr>
          </w:p>
        </w:tc>
        <w:tc>
          <w:tcPr>
            <w:tcW w:w="1854" w:type="dxa"/>
          </w:tcPr>
          <w:p>
            <w:pPr>
              <w:jc w:val="left"/>
              <w:rPr>
                <w:rFonts w:hint="default" w:ascii="仿宋" w:hAnsi="仿宋" w:eastAsia="仿宋" w:cs="仿宋"/>
                <w:sz w:val="30"/>
                <w:szCs w:val="30"/>
                <w:vertAlign w:val="baseline"/>
                <w:lang w:val="en-US" w:eastAsia="zh-CN"/>
              </w:rPr>
            </w:pPr>
          </w:p>
        </w:tc>
        <w:tc>
          <w:tcPr>
            <w:tcW w:w="2872" w:type="dxa"/>
          </w:tcPr>
          <w:p>
            <w:pPr>
              <w:jc w:val="left"/>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2610" w:type="dxa"/>
          </w:tcPr>
          <w:p>
            <w:pPr>
              <w:jc w:val="left"/>
              <w:rPr>
                <w:rFonts w:hint="default" w:ascii="仿宋" w:hAnsi="仿宋" w:eastAsia="仿宋" w:cs="仿宋"/>
                <w:sz w:val="30"/>
                <w:szCs w:val="30"/>
                <w:vertAlign w:val="baseline"/>
                <w:lang w:val="en-US" w:eastAsia="zh-CN"/>
              </w:rPr>
            </w:pPr>
          </w:p>
        </w:tc>
        <w:tc>
          <w:tcPr>
            <w:tcW w:w="3870" w:type="dxa"/>
          </w:tcPr>
          <w:p>
            <w:pPr>
              <w:jc w:val="left"/>
              <w:rPr>
                <w:rFonts w:hint="default" w:ascii="仿宋" w:hAnsi="仿宋" w:eastAsia="仿宋" w:cs="仿宋"/>
                <w:sz w:val="30"/>
                <w:szCs w:val="30"/>
                <w:vertAlign w:val="baseline"/>
                <w:lang w:val="en-US" w:eastAsia="zh-CN"/>
              </w:rPr>
            </w:pPr>
          </w:p>
        </w:tc>
        <w:tc>
          <w:tcPr>
            <w:tcW w:w="1941" w:type="dxa"/>
          </w:tcPr>
          <w:p>
            <w:pPr>
              <w:jc w:val="left"/>
              <w:rPr>
                <w:rFonts w:hint="default" w:ascii="仿宋" w:hAnsi="仿宋" w:eastAsia="仿宋" w:cs="仿宋"/>
                <w:sz w:val="30"/>
                <w:szCs w:val="30"/>
                <w:vertAlign w:val="baseline"/>
                <w:lang w:val="en-US" w:eastAsia="zh-CN"/>
              </w:rPr>
            </w:pPr>
          </w:p>
        </w:tc>
        <w:tc>
          <w:tcPr>
            <w:tcW w:w="1854" w:type="dxa"/>
          </w:tcPr>
          <w:p>
            <w:pPr>
              <w:jc w:val="left"/>
              <w:rPr>
                <w:rFonts w:hint="default" w:ascii="仿宋" w:hAnsi="仿宋" w:eastAsia="仿宋" w:cs="仿宋"/>
                <w:sz w:val="30"/>
                <w:szCs w:val="30"/>
                <w:vertAlign w:val="baseline"/>
                <w:lang w:val="en-US" w:eastAsia="zh-CN"/>
              </w:rPr>
            </w:pPr>
          </w:p>
        </w:tc>
        <w:tc>
          <w:tcPr>
            <w:tcW w:w="2872" w:type="dxa"/>
          </w:tcPr>
          <w:p>
            <w:pPr>
              <w:jc w:val="left"/>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2610" w:type="dxa"/>
          </w:tcPr>
          <w:p>
            <w:pPr>
              <w:jc w:val="left"/>
              <w:rPr>
                <w:rFonts w:hint="default" w:ascii="仿宋" w:hAnsi="仿宋" w:eastAsia="仿宋" w:cs="仿宋"/>
                <w:sz w:val="30"/>
                <w:szCs w:val="30"/>
                <w:vertAlign w:val="baseline"/>
                <w:lang w:val="en-US" w:eastAsia="zh-CN"/>
              </w:rPr>
            </w:pPr>
          </w:p>
        </w:tc>
        <w:tc>
          <w:tcPr>
            <w:tcW w:w="3870" w:type="dxa"/>
          </w:tcPr>
          <w:p>
            <w:pPr>
              <w:jc w:val="left"/>
              <w:rPr>
                <w:rFonts w:hint="default" w:ascii="仿宋" w:hAnsi="仿宋" w:eastAsia="仿宋" w:cs="仿宋"/>
                <w:sz w:val="30"/>
                <w:szCs w:val="30"/>
                <w:vertAlign w:val="baseline"/>
                <w:lang w:val="en-US" w:eastAsia="zh-CN"/>
              </w:rPr>
            </w:pPr>
          </w:p>
        </w:tc>
        <w:tc>
          <w:tcPr>
            <w:tcW w:w="1941" w:type="dxa"/>
          </w:tcPr>
          <w:p>
            <w:pPr>
              <w:jc w:val="left"/>
              <w:rPr>
                <w:rFonts w:hint="default" w:ascii="仿宋" w:hAnsi="仿宋" w:eastAsia="仿宋" w:cs="仿宋"/>
                <w:sz w:val="30"/>
                <w:szCs w:val="30"/>
                <w:vertAlign w:val="baseline"/>
                <w:lang w:val="en-US" w:eastAsia="zh-CN"/>
              </w:rPr>
            </w:pPr>
          </w:p>
        </w:tc>
        <w:tc>
          <w:tcPr>
            <w:tcW w:w="1854" w:type="dxa"/>
          </w:tcPr>
          <w:p>
            <w:pPr>
              <w:jc w:val="left"/>
              <w:rPr>
                <w:rFonts w:hint="default" w:ascii="仿宋" w:hAnsi="仿宋" w:eastAsia="仿宋" w:cs="仿宋"/>
                <w:sz w:val="30"/>
                <w:szCs w:val="30"/>
                <w:vertAlign w:val="baseline"/>
                <w:lang w:val="en-US" w:eastAsia="zh-CN"/>
              </w:rPr>
            </w:pPr>
          </w:p>
        </w:tc>
        <w:tc>
          <w:tcPr>
            <w:tcW w:w="2872" w:type="dxa"/>
          </w:tcPr>
          <w:p>
            <w:pPr>
              <w:jc w:val="left"/>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w:t>
            </w:r>
          </w:p>
        </w:tc>
        <w:tc>
          <w:tcPr>
            <w:tcW w:w="2610" w:type="dxa"/>
          </w:tcPr>
          <w:p>
            <w:pPr>
              <w:jc w:val="left"/>
              <w:rPr>
                <w:rFonts w:hint="default" w:ascii="仿宋" w:hAnsi="仿宋" w:eastAsia="仿宋" w:cs="仿宋"/>
                <w:sz w:val="30"/>
                <w:szCs w:val="30"/>
                <w:vertAlign w:val="baseline"/>
                <w:lang w:val="en-US" w:eastAsia="zh-CN"/>
              </w:rPr>
            </w:pPr>
          </w:p>
        </w:tc>
        <w:tc>
          <w:tcPr>
            <w:tcW w:w="3870" w:type="dxa"/>
          </w:tcPr>
          <w:p>
            <w:pPr>
              <w:jc w:val="left"/>
              <w:rPr>
                <w:rFonts w:hint="default" w:ascii="仿宋" w:hAnsi="仿宋" w:eastAsia="仿宋" w:cs="仿宋"/>
                <w:sz w:val="30"/>
                <w:szCs w:val="30"/>
                <w:vertAlign w:val="baseline"/>
                <w:lang w:val="en-US" w:eastAsia="zh-CN"/>
              </w:rPr>
            </w:pPr>
          </w:p>
        </w:tc>
        <w:tc>
          <w:tcPr>
            <w:tcW w:w="1941" w:type="dxa"/>
          </w:tcPr>
          <w:p>
            <w:pPr>
              <w:jc w:val="left"/>
              <w:rPr>
                <w:rFonts w:hint="default" w:ascii="仿宋" w:hAnsi="仿宋" w:eastAsia="仿宋" w:cs="仿宋"/>
                <w:sz w:val="30"/>
                <w:szCs w:val="30"/>
                <w:vertAlign w:val="baseline"/>
                <w:lang w:val="en-US" w:eastAsia="zh-CN"/>
              </w:rPr>
            </w:pPr>
          </w:p>
        </w:tc>
        <w:tc>
          <w:tcPr>
            <w:tcW w:w="1854" w:type="dxa"/>
          </w:tcPr>
          <w:p>
            <w:pPr>
              <w:jc w:val="left"/>
              <w:rPr>
                <w:rFonts w:hint="default" w:ascii="仿宋" w:hAnsi="仿宋" w:eastAsia="仿宋" w:cs="仿宋"/>
                <w:sz w:val="30"/>
                <w:szCs w:val="30"/>
                <w:vertAlign w:val="baseline"/>
                <w:lang w:val="en-US" w:eastAsia="zh-CN"/>
              </w:rPr>
            </w:pPr>
          </w:p>
        </w:tc>
        <w:tc>
          <w:tcPr>
            <w:tcW w:w="2872" w:type="dxa"/>
          </w:tcPr>
          <w:p>
            <w:pPr>
              <w:jc w:val="left"/>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w:t>
            </w:r>
          </w:p>
        </w:tc>
        <w:tc>
          <w:tcPr>
            <w:tcW w:w="2610" w:type="dxa"/>
          </w:tcPr>
          <w:p>
            <w:pPr>
              <w:jc w:val="left"/>
              <w:rPr>
                <w:rFonts w:hint="default" w:ascii="仿宋" w:hAnsi="仿宋" w:eastAsia="仿宋" w:cs="仿宋"/>
                <w:sz w:val="30"/>
                <w:szCs w:val="30"/>
                <w:vertAlign w:val="baseline"/>
                <w:lang w:val="en-US" w:eastAsia="zh-CN"/>
              </w:rPr>
            </w:pPr>
          </w:p>
        </w:tc>
        <w:tc>
          <w:tcPr>
            <w:tcW w:w="3870" w:type="dxa"/>
          </w:tcPr>
          <w:p>
            <w:pPr>
              <w:jc w:val="left"/>
              <w:rPr>
                <w:rFonts w:hint="default" w:ascii="仿宋" w:hAnsi="仿宋" w:eastAsia="仿宋" w:cs="仿宋"/>
                <w:sz w:val="30"/>
                <w:szCs w:val="30"/>
                <w:vertAlign w:val="baseline"/>
                <w:lang w:val="en-US" w:eastAsia="zh-CN"/>
              </w:rPr>
            </w:pPr>
          </w:p>
        </w:tc>
        <w:tc>
          <w:tcPr>
            <w:tcW w:w="1941" w:type="dxa"/>
          </w:tcPr>
          <w:p>
            <w:pPr>
              <w:jc w:val="left"/>
              <w:rPr>
                <w:rFonts w:hint="default" w:ascii="仿宋" w:hAnsi="仿宋" w:eastAsia="仿宋" w:cs="仿宋"/>
                <w:sz w:val="30"/>
                <w:szCs w:val="30"/>
                <w:vertAlign w:val="baseline"/>
                <w:lang w:val="en-US" w:eastAsia="zh-CN"/>
              </w:rPr>
            </w:pPr>
          </w:p>
        </w:tc>
        <w:tc>
          <w:tcPr>
            <w:tcW w:w="1854" w:type="dxa"/>
          </w:tcPr>
          <w:p>
            <w:pPr>
              <w:jc w:val="left"/>
              <w:rPr>
                <w:rFonts w:hint="default" w:ascii="仿宋" w:hAnsi="仿宋" w:eastAsia="仿宋" w:cs="仿宋"/>
                <w:sz w:val="30"/>
                <w:szCs w:val="30"/>
                <w:vertAlign w:val="baseline"/>
                <w:lang w:val="en-US" w:eastAsia="zh-CN"/>
              </w:rPr>
            </w:pPr>
          </w:p>
        </w:tc>
        <w:tc>
          <w:tcPr>
            <w:tcW w:w="2872" w:type="dxa"/>
          </w:tcPr>
          <w:p>
            <w:pPr>
              <w:jc w:val="left"/>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w:t>
            </w:r>
          </w:p>
        </w:tc>
        <w:tc>
          <w:tcPr>
            <w:tcW w:w="2610" w:type="dxa"/>
          </w:tcPr>
          <w:p>
            <w:pPr>
              <w:jc w:val="left"/>
              <w:rPr>
                <w:rFonts w:hint="default" w:ascii="仿宋" w:hAnsi="仿宋" w:eastAsia="仿宋" w:cs="仿宋"/>
                <w:sz w:val="30"/>
                <w:szCs w:val="30"/>
                <w:vertAlign w:val="baseline"/>
                <w:lang w:val="en-US" w:eastAsia="zh-CN"/>
              </w:rPr>
            </w:pPr>
          </w:p>
        </w:tc>
        <w:tc>
          <w:tcPr>
            <w:tcW w:w="3870" w:type="dxa"/>
          </w:tcPr>
          <w:p>
            <w:pPr>
              <w:jc w:val="left"/>
              <w:rPr>
                <w:rFonts w:hint="default" w:ascii="仿宋" w:hAnsi="仿宋" w:eastAsia="仿宋" w:cs="仿宋"/>
                <w:sz w:val="30"/>
                <w:szCs w:val="30"/>
                <w:vertAlign w:val="baseline"/>
                <w:lang w:val="en-US" w:eastAsia="zh-CN"/>
              </w:rPr>
            </w:pPr>
          </w:p>
        </w:tc>
        <w:tc>
          <w:tcPr>
            <w:tcW w:w="1941" w:type="dxa"/>
          </w:tcPr>
          <w:p>
            <w:pPr>
              <w:jc w:val="left"/>
              <w:rPr>
                <w:rFonts w:hint="default" w:ascii="仿宋" w:hAnsi="仿宋" w:eastAsia="仿宋" w:cs="仿宋"/>
                <w:sz w:val="30"/>
                <w:szCs w:val="30"/>
                <w:vertAlign w:val="baseline"/>
                <w:lang w:val="en-US" w:eastAsia="zh-CN"/>
              </w:rPr>
            </w:pPr>
          </w:p>
        </w:tc>
        <w:tc>
          <w:tcPr>
            <w:tcW w:w="1854" w:type="dxa"/>
          </w:tcPr>
          <w:p>
            <w:pPr>
              <w:jc w:val="left"/>
              <w:rPr>
                <w:rFonts w:hint="default" w:ascii="仿宋" w:hAnsi="仿宋" w:eastAsia="仿宋" w:cs="仿宋"/>
                <w:sz w:val="30"/>
                <w:szCs w:val="30"/>
                <w:vertAlign w:val="baseline"/>
                <w:lang w:val="en-US" w:eastAsia="zh-CN"/>
              </w:rPr>
            </w:pPr>
          </w:p>
        </w:tc>
        <w:tc>
          <w:tcPr>
            <w:tcW w:w="2872" w:type="dxa"/>
          </w:tcPr>
          <w:p>
            <w:pPr>
              <w:jc w:val="left"/>
              <w:rPr>
                <w:rFonts w:hint="default" w:ascii="仿宋" w:hAnsi="仿宋" w:eastAsia="仿宋" w:cs="仿宋"/>
                <w:sz w:val="30"/>
                <w:szCs w:val="30"/>
                <w:vertAlign w:val="baseline"/>
                <w:lang w:val="en-US" w:eastAsia="zh-CN"/>
              </w:rPr>
            </w:pPr>
          </w:p>
        </w:tc>
      </w:tr>
    </w:tbl>
    <w:p>
      <w:pPr>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注：1、请累计添加每周新发现隐患，并更新前期隐患整改进度。累计数包括附件2、3隐患数量。</w:t>
      </w:r>
    </w:p>
    <w:p>
      <w:pPr>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2、本表9月20日前于每周四上午12时前上报区社安管办。</w:t>
      </w:r>
    </w:p>
    <w:p>
      <w:pPr>
        <w:jc w:val="left"/>
        <w:rPr>
          <w:rFonts w:hint="eastAsia" w:ascii="仿宋" w:hAnsi="仿宋" w:eastAsia="仿宋" w:cs="仿宋"/>
          <w:sz w:val="30"/>
          <w:szCs w:val="30"/>
          <w:lang w:val="en-US" w:eastAsia="zh-CN"/>
        </w:rPr>
      </w:pP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jc w:val="center"/>
        <w:rPr>
          <w:rFonts w:hint="eastAsia" w:ascii="仿宋" w:hAnsi="仿宋" w:eastAsia="仿宋" w:cs="仿宋"/>
          <w:b/>
          <w:bCs/>
          <w:sz w:val="40"/>
          <w:szCs w:val="40"/>
          <w:lang w:val="en-US" w:eastAsia="zh-CN"/>
        </w:rPr>
      </w:pPr>
      <w:r>
        <w:rPr>
          <w:rFonts w:hint="eastAsia" w:ascii="宋体" w:hAnsi="宋体" w:eastAsia="宋体" w:cs="宋体"/>
          <w:b/>
          <w:bCs/>
          <w:sz w:val="40"/>
          <w:szCs w:val="40"/>
          <w:lang w:val="en-US" w:eastAsia="zh-CN"/>
        </w:rPr>
        <w:t>危化工矿领域攻坚行动报表</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填报单位：                                                     填报日期：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992"/>
        <w:gridCol w:w="1020"/>
        <w:gridCol w:w="2332"/>
        <w:gridCol w:w="2554"/>
        <w:gridCol w:w="2280"/>
        <w:gridCol w:w="192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restart"/>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单位类型</w:t>
            </w:r>
          </w:p>
        </w:tc>
        <w:tc>
          <w:tcPr>
            <w:tcW w:w="2012" w:type="dxa"/>
            <w:gridSpan w:val="2"/>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排查数量</w:t>
            </w:r>
          </w:p>
        </w:tc>
        <w:tc>
          <w:tcPr>
            <w:tcW w:w="10610" w:type="dxa"/>
            <w:gridSpan w:val="5"/>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隐患排查状态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continue"/>
            <w:vAlign w:val="center"/>
          </w:tcPr>
          <w:p>
            <w:pPr>
              <w:jc w:val="center"/>
            </w:pPr>
          </w:p>
        </w:tc>
        <w:tc>
          <w:tcPr>
            <w:tcW w:w="992" w:type="dxa"/>
            <w:tcBorders>
              <w:right w:val="single" w:color="000000" w:sz="4" w:space="0"/>
            </w:tcBorders>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每周</w:t>
            </w:r>
          </w:p>
        </w:tc>
        <w:tc>
          <w:tcPr>
            <w:tcW w:w="1020" w:type="dxa"/>
            <w:tcBorders>
              <w:left w:val="single" w:color="000000" w:sz="4" w:space="0"/>
            </w:tcBorders>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累计</w:t>
            </w:r>
          </w:p>
        </w:tc>
        <w:tc>
          <w:tcPr>
            <w:tcW w:w="2332"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隐患分类</w:t>
            </w:r>
          </w:p>
        </w:tc>
        <w:tc>
          <w:tcPr>
            <w:tcW w:w="2554"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已排查隐患数</w:t>
            </w:r>
          </w:p>
        </w:tc>
        <w:tc>
          <w:tcPr>
            <w:tcW w:w="2280"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已消除隐患数</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已排查隐患数累计</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已消除隐患数累计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restart"/>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危化品相关企业</w:t>
            </w:r>
          </w:p>
        </w:tc>
        <w:tc>
          <w:tcPr>
            <w:tcW w:w="992" w:type="dxa"/>
            <w:vMerge w:val="restart"/>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restart"/>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主体责任落实类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continue"/>
            <w:vAlign w:val="center"/>
          </w:tcPr>
          <w:p>
            <w:pPr>
              <w:jc w:val="center"/>
              <w:rPr>
                <w:rFonts w:hint="default" w:ascii="仿宋" w:hAnsi="仿宋" w:eastAsia="仿宋" w:cs="仿宋"/>
                <w:sz w:val="30"/>
                <w:szCs w:val="30"/>
                <w:vertAlign w:val="baseline"/>
                <w:lang w:val="en-US" w:eastAsia="zh-CN"/>
              </w:rPr>
            </w:pPr>
          </w:p>
        </w:tc>
        <w:tc>
          <w:tcPr>
            <w:tcW w:w="992" w:type="dxa"/>
            <w:vMerge w:val="continue"/>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continue"/>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从业人员能力类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continue"/>
            <w:vAlign w:val="center"/>
          </w:tcPr>
          <w:p>
            <w:pPr>
              <w:jc w:val="center"/>
              <w:rPr>
                <w:rFonts w:hint="default" w:ascii="仿宋" w:hAnsi="仿宋" w:eastAsia="仿宋" w:cs="仿宋"/>
                <w:sz w:val="30"/>
                <w:szCs w:val="30"/>
                <w:vertAlign w:val="baseline"/>
                <w:lang w:val="en-US" w:eastAsia="zh-CN"/>
              </w:rPr>
            </w:pPr>
          </w:p>
        </w:tc>
        <w:tc>
          <w:tcPr>
            <w:tcW w:w="992" w:type="dxa"/>
            <w:vMerge w:val="continue"/>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continue"/>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火源、电源管控类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continue"/>
            <w:vAlign w:val="center"/>
          </w:tcPr>
          <w:p>
            <w:pPr>
              <w:jc w:val="center"/>
              <w:rPr>
                <w:rFonts w:hint="default" w:ascii="仿宋" w:hAnsi="仿宋" w:eastAsia="仿宋" w:cs="仿宋"/>
                <w:sz w:val="30"/>
                <w:szCs w:val="30"/>
                <w:vertAlign w:val="baseline"/>
                <w:lang w:val="en-US" w:eastAsia="zh-CN"/>
              </w:rPr>
            </w:pPr>
          </w:p>
        </w:tc>
        <w:tc>
          <w:tcPr>
            <w:tcW w:w="992" w:type="dxa"/>
            <w:vMerge w:val="continue"/>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continue"/>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违法经营、使用类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continue"/>
            <w:vAlign w:val="center"/>
          </w:tcPr>
          <w:p>
            <w:pPr>
              <w:jc w:val="center"/>
              <w:rPr>
                <w:rFonts w:hint="default" w:ascii="仿宋" w:hAnsi="仿宋" w:eastAsia="仿宋" w:cs="仿宋"/>
                <w:sz w:val="30"/>
                <w:szCs w:val="30"/>
                <w:vertAlign w:val="baseline"/>
                <w:lang w:val="en-US" w:eastAsia="zh-CN"/>
              </w:rPr>
            </w:pPr>
          </w:p>
        </w:tc>
        <w:tc>
          <w:tcPr>
            <w:tcW w:w="992" w:type="dxa"/>
            <w:vMerge w:val="continue"/>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continue"/>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重大危险源管控类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17" w:type="dxa"/>
            <w:vMerge w:val="continue"/>
            <w:vAlign w:val="center"/>
          </w:tcPr>
          <w:p>
            <w:pPr>
              <w:jc w:val="center"/>
              <w:rPr>
                <w:rFonts w:hint="default" w:ascii="仿宋" w:hAnsi="仿宋" w:eastAsia="仿宋" w:cs="仿宋"/>
                <w:sz w:val="30"/>
                <w:szCs w:val="30"/>
                <w:vertAlign w:val="baseline"/>
                <w:lang w:val="en-US" w:eastAsia="zh-CN"/>
              </w:rPr>
            </w:pPr>
          </w:p>
        </w:tc>
        <w:tc>
          <w:tcPr>
            <w:tcW w:w="992" w:type="dxa"/>
            <w:vMerge w:val="continue"/>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continue"/>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安全设施配置类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7" w:type="dxa"/>
            <w:vMerge w:val="continue"/>
            <w:vAlign w:val="center"/>
          </w:tcPr>
          <w:p>
            <w:pPr>
              <w:jc w:val="center"/>
              <w:rPr>
                <w:rFonts w:hint="default" w:ascii="仿宋" w:hAnsi="仿宋" w:eastAsia="仿宋" w:cs="仿宋"/>
                <w:sz w:val="30"/>
                <w:szCs w:val="30"/>
                <w:vertAlign w:val="baseline"/>
                <w:lang w:val="en-US" w:eastAsia="zh-CN"/>
              </w:rPr>
            </w:pPr>
          </w:p>
        </w:tc>
        <w:tc>
          <w:tcPr>
            <w:tcW w:w="992" w:type="dxa"/>
            <w:vMerge w:val="continue"/>
            <w:tcBorders>
              <w:right w:val="single" w:color="000000" w:sz="4" w:space="0"/>
            </w:tcBorders>
          </w:tcPr>
          <w:p>
            <w:pPr>
              <w:jc w:val="left"/>
              <w:rPr>
                <w:rFonts w:hint="default" w:ascii="仿宋" w:hAnsi="仿宋" w:eastAsia="仿宋" w:cs="仿宋"/>
                <w:sz w:val="30"/>
                <w:szCs w:val="30"/>
                <w:vertAlign w:val="baseline"/>
                <w:lang w:val="en-US" w:eastAsia="zh-CN"/>
              </w:rPr>
            </w:pPr>
          </w:p>
        </w:tc>
        <w:tc>
          <w:tcPr>
            <w:tcW w:w="1020" w:type="dxa"/>
            <w:vMerge w:val="continue"/>
          </w:tcPr>
          <w:p>
            <w:pPr>
              <w:jc w:val="left"/>
              <w:rPr>
                <w:rFonts w:hint="default" w:ascii="仿宋" w:hAnsi="仿宋" w:eastAsia="仿宋" w:cs="仿宋"/>
                <w:sz w:val="30"/>
                <w:szCs w:val="30"/>
                <w:vertAlign w:val="baseline"/>
                <w:lang w:val="en-US" w:eastAsia="zh-CN"/>
              </w:rPr>
            </w:pPr>
          </w:p>
        </w:tc>
        <w:tc>
          <w:tcPr>
            <w:tcW w:w="233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应急处置能力类</w:t>
            </w:r>
          </w:p>
        </w:tc>
        <w:tc>
          <w:tcPr>
            <w:tcW w:w="2554" w:type="dxa"/>
            <w:vAlign w:val="center"/>
          </w:tcPr>
          <w:p>
            <w:pPr>
              <w:jc w:val="center"/>
              <w:rPr>
                <w:rFonts w:hint="default" w:ascii="仿宋" w:hAnsi="仿宋" w:eastAsia="仿宋" w:cs="仿宋"/>
                <w:sz w:val="30"/>
                <w:szCs w:val="30"/>
                <w:vertAlign w:val="baseline"/>
                <w:lang w:val="en-US" w:eastAsia="zh-CN"/>
              </w:rPr>
            </w:pPr>
          </w:p>
        </w:tc>
        <w:tc>
          <w:tcPr>
            <w:tcW w:w="2280" w:type="dxa"/>
            <w:vAlign w:val="center"/>
          </w:tcPr>
          <w:p>
            <w:pPr>
              <w:jc w:val="center"/>
              <w:rPr>
                <w:rFonts w:hint="default" w:ascii="仿宋" w:hAnsi="仿宋" w:eastAsia="仿宋" w:cs="仿宋"/>
                <w:sz w:val="30"/>
                <w:szCs w:val="30"/>
                <w:vertAlign w:val="baseline"/>
                <w:lang w:val="en-US" w:eastAsia="zh-CN"/>
              </w:rPr>
            </w:pPr>
          </w:p>
        </w:tc>
        <w:tc>
          <w:tcPr>
            <w:tcW w:w="1920" w:type="dxa"/>
            <w:vAlign w:val="center"/>
          </w:tcPr>
          <w:p>
            <w:pPr>
              <w:jc w:val="center"/>
              <w:rPr>
                <w:rFonts w:hint="default" w:ascii="仿宋" w:hAnsi="仿宋" w:eastAsia="仿宋" w:cs="仿宋"/>
                <w:sz w:val="30"/>
                <w:szCs w:val="30"/>
                <w:vertAlign w:val="baseline"/>
                <w:lang w:val="en-US" w:eastAsia="zh-CN"/>
              </w:rPr>
            </w:pPr>
          </w:p>
        </w:tc>
        <w:tc>
          <w:tcPr>
            <w:tcW w:w="1524" w:type="dxa"/>
            <w:vAlign w:val="center"/>
          </w:tcPr>
          <w:p>
            <w:pPr>
              <w:jc w:val="center"/>
              <w:rPr>
                <w:rFonts w:hint="default" w:ascii="仿宋" w:hAnsi="仿宋" w:eastAsia="仿宋" w:cs="仿宋"/>
                <w:sz w:val="30"/>
                <w:szCs w:val="30"/>
                <w:vertAlign w:val="baseline"/>
                <w:lang w:val="en-US" w:eastAsia="zh-CN"/>
              </w:rPr>
            </w:pPr>
          </w:p>
        </w:tc>
      </w:tr>
    </w:tbl>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注：请累计添加每周新发现隐患，并更新前期隐患整改进度。本表9月20日前于每周四上午12时前上报区社安管办。</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附件3：</w:t>
      </w:r>
    </w:p>
    <w:p>
      <w:pPr>
        <w:jc w:val="center"/>
        <w:rPr>
          <w:rFonts w:hint="eastAsia" w:ascii="仿宋" w:hAnsi="仿宋" w:eastAsia="仿宋" w:cs="仿宋"/>
          <w:b/>
          <w:bCs/>
          <w:sz w:val="40"/>
          <w:szCs w:val="40"/>
          <w:lang w:val="en-US" w:eastAsia="zh-CN"/>
        </w:rPr>
      </w:pPr>
      <w:r>
        <w:rPr>
          <w:rFonts w:hint="eastAsia" w:ascii="宋体" w:hAnsi="宋体" w:eastAsia="宋体" w:cs="宋体"/>
          <w:b/>
          <w:bCs/>
          <w:sz w:val="40"/>
          <w:szCs w:val="40"/>
          <w:lang w:val="en-US" w:eastAsia="zh-CN"/>
        </w:rPr>
        <w:t>城镇燃气领域攻坚行动报表</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填报单位：                                                     填报日期：    年   月   日</w:t>
      </w:r>
    </w:p>
    <w:tbl>
      <w:tblPr>
        <w:tblStyle w:val="3"/>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996"/>
        <w:gridCol w:w="1026"/>
        <w:gridCol w:w="2344"/>
        <w:gridCol w:w="2048"/>
        <w:gridCol w:w="2250"/>
        <w:gridCol w:w="1921"/>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525" w:type="dxa"/>
            <w:vMerge w:val="restart"/>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单位类型</w:t>
            </w:r>
          </w:p>
        </w:tc>
        <w:tc>
          <w:tcPr>
            <w:tcW w:w="2022" w:type="dxa"/>
            <w:gridSpan w:val="2"/>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排查数量</w:t>
            </w:r>
          </w:p>
        </w:tc>
        <w:tc>
          <w:tcPr>
            <w:tcW w:w="10671" w:type="dxa"/>
            <w:gridSpan w:val="5"/>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隐患排查状态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25" w:type="dxa"/>
            <w:vMerge w:val="continue"/>
            <w:vAlign w:val="center"/>
          </w:tcPr>
          <w:p>
            <w:pPr>
              <w:jc w:val="center"/>
            </w:pPr>
          </w:p>
        </w:tc>
        <w:tc>
          <w:tcPr>
            <w:tcW w:w="996" w:type="dxa"/>
            <w:tcBorders>
              <w:right w:val="single" w:color="000000" w:sz="4" w:space="0"/>
            </w:tcBorders>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每周</w:t>
            </w:r>
          </w:p>
        </w:tc>
        <w:tc>
          <w:tcPr>
            <w:tcW w:w="1026" w:type="dxa"/>
            <w:tcBorders>
              <w:left w:val="single" w:color="000000" w:sz="4" w:space="0"/>
            </w:tcBorders>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累计</w:t>
            </w:r>
          </w:p>
        </w:tc>
        <w:tc>
          <w:tcPr>
            <w:tcW w:w="2344"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隐患分类</w:t>
            </w:r>
          </w:p>
        </w:tc>
        <w:tc>
          <w:tcPr>
            <w:tcW w:w="2048"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已排查隐患数</w:t>
            </w:r>
          </w:p>
        </w:tc>
        <w:tc>
          <w:tcPr>
            <w:tcW w:w="2250"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已消除隐患数</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已排查隐患数累计</w:t>
            </w: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已消除隐患数累计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建液化石油气供应站、储配站</w:t>
            </w:r>
          </w:p>
        </w:tc>
        <w:tc>
          <w:tcPr>
            <w:tcW w:w="996"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设置场所类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主体责任落实类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应急处置能力类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液化气销售网点</w:t>
            </w:r>
          </w:p>
        </w:tc>
        <w:tc>
          <w:tcPr>
            <w:tcW w:w="996"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设置场所类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主体责任落实类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应急处置能力类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使用瓶装液化石油气的沿街商铺</w:t>
            </w:r>
          </w:p>
        </w:tc>
        <w:tc>
          <w:tcPr>
            <w:tcW w:w="996"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瓶装液化石油气设置位置类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储存剂量类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连接方式类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996"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报警装置类</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30"/>
                <w:szCs w:val="30"/>
                <w:vertAlign w:val="baseline"/>
                <w:lang w:val="en-US" w:eastAsia="zh-CN"/>
              </w:rPr>
            </w:pPr>
          </w:p>
        </w:tc>
      </w:tr>
    </w:tbl>
    <w:p>
      <w:pPr>
        <w:jc w:val="left"/>
        <w:rPr>
          <w:rFonts w:hint="default" w:ascii="仿宋" w:hAnsi="仿宋" w:eastAsia="仿宋" w:cs="仿宋"/>
          <w:sz w:val="30"/>
          <w:szCs w:val="30"/>
          <w:lang w:val="en-US" w:eastAsia="zh-CN"/>
        </w:rPr>
      </w:pPr>
      <w:r>
        <w:rPr>
          <w:rFonts w:hint="eastAsia" w:ascii="仿宋" w:hAnsi="仿宋" w:eastAsia="仿宋" w:cs="仿宋"/>
          <w:sz w:val="24"/>
          <w:szCs w:val="24"/>
          <w:lang w:val="en-US" w:eastAsia="zh-CN"/>
        </w:rPr>
        <w:t>注：请累计添加每周新发现隐患，并更新前期隐患整改进度。本表9月20日前于每周四上午12时前上报区社安管办。</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ODNlYWYxNDY4YWNlYTkzYzU0ODEyYWI0ZTk3MDUifQ=="/>
  </w:docVars>
  <w:rsids>
    <w:rsidRoot w:val="187A684E"/>
    <w:rsid w:val="0CA86EF0"/>
    <w:rsid w:val="0CE11623"/>
    <w:rsid w:val="0F4B08D6"/>
    <w:rsid w:val="137D4DCF"/>
    <w:rsid w:val="187A684E"/>
    <w:rsid w:val="1C1F2674"/>
    <w:rsid w:val="1E875BEE"/>
    <w:rsid w:val="280D7097"/>
    <w:rsid w:val="2B7F5650"/>
    <w:rsid w:val="2FC214F4"/>
    <w:rsid w:val="31203BB8"/>
    <w:rsid w:val="31FF5C68"/>
    <w:rsid w:val="33990264"/>
    <w:rsid w:val="3A9466A0"/>
    <w:rsid w:val="43AE15B0"/>
    <w:rsid w:val="529564C3"/>
    <w:rsid w:val="54EF09AE"/>
    <w:rsid w:val="5C485F6B"/>
    <w:rsid w:val="63AB693C"/>
    <w:rsid w:val="65E96085"/>
    <w:rsid w:val="74BC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市红十字会</Company>
  <Pages>6</Pages>
  <Words>1861</Words>
  <Characters>1895</Characters>
  <Lines>0</Lines>
  <Paragraphs>0</Paragraphs>
  <TotalTime>1</TotalTime>
  <ScaleCrop>false</ScaleCrop>
  <LinksUpToDate>false</LinksUpToDate>
  <CharactersWithSpaces>2148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2022-07-06T06:36:00Z</dcterms:created>
  <dc:creator>Administrator</dc:creator>
  <cp:lastModifiedBy>Administrator</cp:lastModifiedBy>
  <cp:lastPrinted>2022-07-06T08:17:00Z</cp:lastPrinted>
  <dcterms:modified xsi:type="dcterms:W3CDTF">2022-07-06T08:52:14Z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0872CB9DCE824E46865E4713AB49FCB7</vt:lpwstr>
  </property>
</Properties>
</file>